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80B" w:rsidRPr="001A149A" w:rsidRDefault="00131C51" w:rsidP="00500503">
      <w:pPr>
        <w:spacing w:before="340" w:after="340"/>
        <w:jc w:val="center"/>
        <w:rPr>
          <w:b/>
          <w:bCs/>
          <w:sz w:val="40"/>
          <w:szCs w:val="40"/>
        </w:rPr>
        <w:sectPr w:rsidR="009B680B" w:rsidRPr="001A149A" w:rsidSect="00682B11">
          <w:pgSz w:w="11906" w:h="16838" w:code="9"/>
          <w:pgMar w:top="1701" w:right="1134" w:bottom="2325" w:left="1021" w:header="709" w:footer="709" w:gutter="0"/>
          <w:cols w:space="340"/>
          <w:docGrid w:linePitch="360"/>
        </w:sectPr>
      </w:pPr>
      <w:r w:rsidRPr="00131C51">
        <w:rPr>
          <w:b/>
          <w:bCs/>
          <w:sz w:val="40"/>
          <w:szCs w:val="40"/>
        </w:rPr>
        <w:t>Emotions as evidence in the delusional experience</w:t>
      </w:r>
    </w:p>
    <w:p w:rsidR="00C903E9" w:rsidRPr="00D13AEE" w:rsidRDefault="00131C51" w:rsidP="00D13AEE">
      <w:pPr>
        <w:spacing w:after="340"/>
        <w:jc w:val="center"/>
        <w:outlineLvl w:val="0"/>
        <w:rPr>
          <w:b/>
          <w:sz w:val="22"/>
          <w:szCs w:val="22"/>
        </w:rPr>
      </w:pPr>
      <w:r>
        <w:rPr>
          <w:b/>
          <w:sz w:val="22"/>
          <w:szCs w:val="22"/>
        </w:rPr>
        <w:lastRenderedPageBreak/>
        <w:t>Rachel Gunn</w:t>
      </w:r>
      <w:r w:rsidR="003926A5" w:rsidRPr="00D13AEE">
        <w:rPr>
          <w:sz w:val="22"/>
          <w:szCs w:val="22"/>
          <w:vertAlign w:val="superscript"/>
        </w:rPr>
        <w:t>1</w:t>
      </w:r>
    </w:p>
    <w:p w:rsidR="00682B11" w:rsidRPr="00D13AEE" w:rsidRDefault="00682B11">
      <w:pPr>
        <w:sectPr w:rsidR="00682B11" w:rsidRPr="00D13AEE" w:rsidSect="00682B11">
          <w:type w:val="continuous"/>
          <w:pgSz w:w="11906" w:h="16838" w:code="9"/>
          <w:pgMar w:top="1701" w:right="1134" w:bottom="2325" w:left="1021" w:header="709" w:footer="709" w:gutter="0"/>
          <w:cols w:space="340"/>
          <w:docGrid w:linePitch="360"/>
        </w:sectPr>
      </w:pPr>
    </w:p>
    <w:p w:rsidR="00C903E9" w:rsidRPr="00B25FBF" w:rsidRDefault="002417D7" w:rsidP="005F7642">
      <w:pPr>
        <w:jc w:val="both"/>
        <w:rPr>
          <w:sz w:val="2"/>
          <w:szCs w:val="2"/>
        </w:rPr>
      </w:pPr>
      <w:r w:rsidRPr="00B25FBF">
        <w:rPr>
          <w:b/>
          <w:sz w:val="2"/>
          <w:szCs w:val="2"/>
        </w:rPr>
        <w:lastRenderedPageBreak/>
        <w:t>Abstract.</w:t>
      </w:r>
      <w:r w:rsidR="003B7373" w:rsidRPr="00B25FBF">
        <w:rPr>
          <w:rStyle w:val="FootnoteReference"/>
          <w:color w:val="FFFFFF"/>
          <w:sz w:val="2"/>
          <w:szCs w:val="2"/>
        </w:rPr>
        <w:footnoteReference w:id="1"/>
      </w:r>
    </w:p>
    <w:p w:rsidR="002417D7" w:rsidRPr="00B25FBF" w:rsidRDefault="00166BF3" w:rsidP="00B04658">
      <w:pPr>
        <w:pStyle w:val="ListParagraph"/>
        <w:numPr>
          <w:ilvl w:val="0"/>
          <w:numId w:val="2"/>
        </w:numPr>
        <w:spacing w:before="360" w:after="120"/>
        <w:ind w:left="425" w:hanging="425"/>
        <w:outlineLvl w:val="0"/>
        <w:rPr>
          <w:b/>
          <w:sz w:val="22"/>
          <w:szCs w:val="22"/>
        </w:rPr>
      </w:pPr>
      <w:r w:rsidRPr="00B25FBF">
        <w:rPr>
          <w:b/>
          <w:sz w:val="22"/>
          <w:szCs w:val="22"/>
        </w:rPr>
        <w:t>INTRODUCTION</w:t>
      </w:r>
    </w:p>
    <w:p w:rsidR="00B25FBF" w:rsidRPr="0072732A" w:rsidRDefault="00B25FBF" w:rsidP="00B25FBF">
      <w:pPr>
        <w:jc w:val="both"/>
        <w:rPr>
          <w:sz w:val="18"/>
          <w:szCs w:val="18"/>
        </w:rPr>
      </w:pPr>
      <w:r w:rsidRPr="00111A72">
        <w:rPr>
          <w:sz w:val="18"/>
          <w:szCs w:val="18"/>
        </w:rPr>
        <w:t xml:space="preserve">For those who have clinically significant delusions the symptom is broadly defined in cognitivist terms relating to false beliefs held with conviction </w:t>
      </w:r>
      <w:r w:rsidRPr="00111A72">
        <w:rPr>
          <w:noProof/>
          <w:sz w:val="18"/>
          <w:szCs w:val="18"/>
        </w:rPr>
        <w:t>[6]</w:t>
      </w:r>
      <w:r w:rsidRPr="00111A72">
        <w:rPr>
          <w:sz w:val="18"/>
          <w:szCs w:val="18"/>
        </w:rPr>
        <w:t xml:space="preserve">.  Using original research where I interview people with clinically significant delusions I call in to question the assumptions made about delusion formation and maintenance and recast delusion as emotional </w:t>
      </w:r>
      <w:r w:rsidR="00B04658">
        <w:rPr>
          <w:sz w:val="18"/>
          <w:szCs w:val="18"/>
        </w:rPr>
        <w:t xml:space="preserve">or perceptual, occurring when </w:t>
      </w:r>
      <w:r w:rsidR="00B04658" w:rsidRPr="00B04658">
        <w:rPr>
          <w:i/>
          <w:sz w:val="18"/>
          <w:szCs w:val="18"/>
        </w:rPr>
        <w:t>a</w:t>
      </w:r>
      <w:r w:rsidRPr="00B04658">
        <w:rPr>
          <w:i/>
          <w:sz w:val="18"/>
          <w:szCs w:val="18"/>
        </w:rPr>
        <w:t>ffe</w:t>
      </w:r>
      <w:r w:rsidR="00B04658" w:rsidRPr="00B04658">
        <w:rPr>
          <w:i/>
          <w:sz w:val="18"/>
          <w:szCs w:val="18"/>
        </w:rPr>
        <w:t>ctive f</w:t>
      </w:r>
      <w:r w:rsidRPr="00B04658">
        <w:rPr>
          <w:i/>
          <w:sz w:val="18"/>
          <w:szCs w:val="18"/>
        </w:rPr>
        <w:t>raming</w:t>
      </w:r>
      <w:r w:rsidRPr="00111A72">
        <w:rPr>
          <w:sz w:val="18"/>
          <w:szCs w:val="18"/>
        </w:rPr>
        <w:t xml:space="preserve"> </w:t>
      </w:r>
      <w:r>
        <w:rPr>
          <w:sz w:val="18"/>
          <w:szCs w:val="18"/>
        </w:rPr>
        <w:t>breaks down</w:t>
      </w:r>
      <w:r w:rsidRPr="00111A72">
        <w:rPr>
          <w:sz w:val="18"/>
          <w:szCs w:val="18"/>
        </w:rPr>
        <w:t xml:space="preserve">.   </w:t>
      </w:r>
    </w:p>
    <w:p w:rsidR="009F7A8F" w:rsidRPr="00B25FBF" w:rsidRDefault="00483CD4" w:rsidP="00B25FBF">
      <w:pPr>
        <w:pStyle w:val="ListParagraph"/>
        <w:numPr>
          <w:ilvl w:val="0"/>
          <w:numId w:val="2"/>
        </w:numPr>
        <w:spacing w:before="360" w:after="120"/>
        <w:ind w:left="425" w:hanging="425"/>
        <w:outlineLvl w:val="0"/>
        <w:rPr>
          <w:b/>
          <w:sz w:val="22"/>
          <w:szCs w:val="22"/>
        </w:rPr>
      </w:pPr>
      <w:r w:rsidRPr="00B25FBF">
        <w:rPr>
          <w:b/>
          <w:sz w:val="22"/>
          <w:szCs w:val="22"/>
        </w:rPr>
        <w:t>AFFECTIVE FRAMING</w:t>
      </w:r>
      <w:r w:rsidR="009B3C45" w:rsidRPr="00B25FBF">
        <w:rPr>
          <w:b/>
          <w:sz w:val="22"/>
          <w:szCs w:val="22"/>
        </w:rPr>
        <w:t xml:space="preserve"> </w:t>
      </w:r>
    </w:p>
    <w:p w:rsidR="00B04658" w:rsidRDefault="00B04658" w:rsidP="008E3B92">
      <w:pPr>
        <w:pStyle w:val="MyFirstPar"/>
      </w:pPr>
      <w:r>
        <w:t>The notion of affective f</w:t>
      </w:r>
      <w:r w:rsidR="008E3B92">
        <w:t xml:space="preserve">raming is used to understand how a person makes sense of her world [1].  A person has desires and needs in relation to survival and procreation and makes decisions about action in the world based her response to positively </w:t>
      </w:r>
      <w:proofErr w:type="spellStart"/>
      <w:r w:rsidR="008E3B92">
        <w:t>valenced</w:t>
      </w:r>
      <w:proofErr w:type="spellEnd"/>
      <w:r w:rsidR="008E3B92">
        <w:t xml:space="preserve"> preferences and negatively </w:t>
      </w:r>
      <w:proofErr w:type="spellStart"/>
      <w:r w:rsidR="008E3B92">
        <w:t>valenced</w:t>
      </w:r>
      <w:proofErr w:type="spellEnd"/>
      <w:r w:rsidR="008E3B92">
        <w:t xml:space="preserve"> object</w:t>
      </w:r>
      <w:r>
        <w:t>s or situations to be avoided.</w:t>
      </w:r>
    </w:p>
    <w:p w:rsidR="008E3B92" w:rsidRDefault="008E3B92" w:rsidP="00B04658">
      <w:pPr>
        <w:pStyle w:val="MyFirstPar"/>
        <w:ind w:firstLine="215"/>
      </w:pPr>
      <w:r>
        <w:t xml:space="preserve">The person’s response is at </w:t>
      </w:r>
      <w:r w:rsidR="00B04658">
        <w:t>first bodily and then cognitive</w:t>
      </w:r>
      <w:r>
        <w:t>.</w:t>
      </w:r>
      <w:r w:rsidR="00B04658">
        <w:rPr>
          <w:rStyle w:val="FootnoteReference"/>
        </w:rPr>
        <w:footnoteReference w:id="2"/>
      </w:r>
      <w:r>
        <w:t xml:space="preserve">  A human being is (perhaps uniquely) able to respond to her situation at a number of different ‘levels’.  These ‘levels’ might be described as somatic (or bodily), cognitive and meta-cognitive.</w:t>
      </w:r>
    </w:p>
    <w:p w:rsidR="00B04658" w:rsidRDefault="008E3B92" w:rsidP="008E3B92">
      <w:pPr>
        <w:pStyle w:val="MyFirstPar"/>
        <w:ind w:firstLine="215"/>
      </w:pPr>
      <w:r>
        <w:t>Affectivity impacts a person’s actions in relation to the affordance</w:t>
      </w:r>
      <w:r>
        <w:rPr>
          <w:rStyle w:val="FootnoteReference"/>
        </w:rPr>
        <w:footnoteReference w:id="3"/>
      </w:r>
      <w:r>
        <w:t xml:space="preserve"> of any given situation.  If affordances as presented are all the physical possibilities of a given situation how does a person ever decide what action to take?  The possibiliti</w:t>
      </w:r>
      <w:r w:rsidR="00B04658">
        <w:t>es are extremely wide ranging.</w:t>
      </w:r>
    </w:p>
    <w:p w:rsidR="008E3B92" w:rsidRDefault="008E3B92" w:rsidP="008E3B92">
      <w:pPr>
        <w:pStyle w:val="MyFirstPar"/>
        <w:ind w:firstLine="215"/>
      </w:pPr>
      <w:r>
        <w:t>It is clear that some kind of frame is needed to enable goal-orientated d</w:t>
      </w:r>
      <w:r w:rsidR="00B04658">
        <w:t>ecision-making.  This is where affective f</w:t>
      </w:r>
      <w:r>
        <w:t>raming fits in.</w:t>
      </w:r>
    </w:p>
    <w:p w:rsidR="00B04658" w:rsidRDefault="008E3B92" w:rsidP="008E3B92">
      <w:pPr>
        <w:pStyle w:val="MyFirstPar"/>
        <w:ind w:firstLine="215"/>
      </w:pPr>
      <w:r>
        <w:t xml:space="preserve">Antonio </w:t>
      </w:r>
      <w:proofErr w:type="spellStart"/>
      <w:r>
        <w:t>Damasio’s</w:t>
      </w:r>
      <w:proofErr w:type="spellEnd"/>
      <w:r>
        <w:t xml:space="preserve"> somatic marker hypothesis holds that a person’s affective capacities originate as somatic feelings (pre-r</w:t>
      </w:r>
      <w:r w:rsidR="00B04658">
        <w:t xml:space="preserve">eflective bodily responses) </w:t>
      </w:r>
      <w:r>
        <w:t>or certain kinds of (emotion related) brain responses</w:t>
      </w:r>
      <w:r>
        <w:rPr>
          <w:rStyle w:val="FootnoteReference"/>
        </w:rPr>
        <w:footnoteReference w:id="4"/>
      </w:r>
      <w:r>
        <w:t xml:space="preserve"> at a sub personal level.  These somatic markers facilitate reasoning by enabling relevant salien</w:t>
      </w:r>
      <w:r w:rsidR="00B04658">
        <w:t>t options to become available.</w:t>
      </w:r>
    </w:p>
    <w:p w:rsidR="000B0F27" w:rsidRDefault="008E3B92" w:rsidP="008E3B92">
      <w:pPr>
        <w:pStyle w:val="MyFirstPar"/>
        <w:ind w:firstLine="215"/>
      </w:pPr>
      <w:r>
        <w:t xml:space="preserve">Without these somatic markers decision-making is impaired [5]. </w:t>
      </w:r>
    </w:p>
    <w:p w:rsidR="009F7A8F" w:rsidRPr="008E3B92" w:rsidRDefault="00483CD4" w:rsidP="00B04658">
      <w:pPr>
        <w:pStyle w:val="ListParagraph"/>
        <w:numPr>
          <w:ilvl w:val="0"/>
          <w:numId w:val="2"/>
        </w:numPr>
        <w:spacing w:before="360" w:after="120"/>
        <w:ind w:left="425" w:hanging="425"/>
        <w:outlineLvl w:val="0"/>
        <w:rPr>
          <w:b/>
          <w:sz w:val="22"/>
          <w:szCs w:val="22"/>
        </w:rPr>
      </w:pPr>
      <w:r w:rsidRPr="008E3B92">
        <w:rPr>
          <w:b/>
          <w:sz w:val="22"/>
          <w:szCs w:val="22"/>
        </w:rPr>
        <w:lastRenderedPageBreak/>
        <w:t>EMPIRICAL RESEARCH</w:t>
      </w:r>
    </w:p>
    <w:p w:rsidR="008E3B92" w:rsidRPr="008E3B92" w:rsidRDefault="008E3B92" w:rsidP="008E3B92">
      <w:pPr>
        <w:jc w:val="both"/>
        <w:rPr>
          <w:rStyle w:val="MyFirstParChar"/>
        </w:rPr>
      </w:pPr>
      <w:r w:rsidRPr="008E3B92">
        <w:rPr>
          <w:rStyle w:val="MyFirstParChar"/>
        </w:rPr>
        <w:t>Barbara is in her forties, lives alone, has a diagnosis of schizophrenia and has active delusions.  Ultimately she came to believe that she was literally the daughter of the Christian God, the female equivalent of Jesus.  A delusion with this content (this belief) is k</w:t>
      </w:r>
      <w:r>
        <w:rPr>
          <w:rStyle w:val="MyFirstParChar"/>
        </w:rPr>
        <w:t>nown as a delusion of grandeur.</w:t>
      </w:r>
      <w:r>
        <w:rPr>
          <w:rStyle w:val="FootnoteReference"/>
          <w:sz w:val="18"/>
          <w:szCs w:val="18"/>
        </w:rPr>
        <w:footnoteReference w:id="5"/>
      </w:r>
    </w:p>
    <w:p w:rsidR="008E3B92" w:rsidRPr="008E3B92" w:rsidRDefault="008E3B92" w:rsidP="008E3B92">
      <w:pPr>
        <w:ind w:firstLine="180"/>
        <w:jc w:val="both"/>
        <w:rPr>
          <w:rStyle w:val="MyFirstParChar"/>
        </w:rPr>
      </w:pPr>
      <w:r w:rsidRPr="008E3B92">
        <w:rPr>
          <w:rStyle w:val="MyFirstParChar"/>
        </w:rPr>
        <w:t>At the outset of her problems she described what is known as delusional mood [7] and felt that something strange was happening.  Soon afterwards things in the environment became highly salient, her attention was drawn to certain song lyrics, road signs, phrases and words.  These ideas of reference soon becam</w:t>
      </w:r>
      <w:r w:rsidR="00B04658">
        <w:rPr>
          <w:rStyle w:val="MyFirstParChar"/>
        </w:rPr>
        <w:t>e delusions of reference</w:t>
      </w:r>
      <w:r w:rsidR="00B04658">
        <w:rPr>
          <w:rStyle w:val="FootnoteReference"/>
          <w:sz w:val="18"/>
          <w:szCs w:val="18"/>
        </w:rPr>
        <w:footnoteReference w:id="6"/>
      </w:r>
      <w:r w:rsidRPr="008E3B92">
        <w:rPr>
          <w:rStyle w:val="MyFirstParChar"/>
        </w:rPr>
        <w:t xml:space="preserve"> as she began to believe that the environmental cues were giving her messages.  She found this very difficult to explain.</w:t>
      </w:r>
    </w:p>
    <w:p w:rsidR="008E3B92" w:rsidRPr="008E3B92" w:rsidRDefault="008E3B92" w:rsidP="008E3B92">
      <w:pPr>
        <w:ind w:firstLine="180"/>
        <w:jc w:val="both"/>
        <w:rPr>
          <w:rStyle w:val="MyFirstParChar"/>
        </w:rPr>
      </w:pPr>
      <w:r w:rsidRPr="008E3B92">
        <w:rPr>
          <w:rStyle w:val="MyFirstParChar"/>
        </w:rPr>
        <w:t xml:space="preserve">Barbara was also experiencing strong emotions, such as fear, love, anger and guilt, for which she had no obvious explanation.   Barbara’s initial experiences were </w:t>
      </w:r>
      <w:proofErr w:type="spellStart"/>
      <w:r w:rsidRPr="008E3B92">
        <w:rPr>
          <w:rStyle w:val="MyFirstParChar"/>
        </w:rPr>
        <w:t>attentional</w:t>
      </w:r>
      <w:proofErr w:type="spellEnd"/>
      <w:r w:rsidRPr="008E3B92">
        <w:rPr>
          <w:rStyle w:val="MyFirstParChar"/>
        </w:rPr>
        <w:t xml:space="preserve"> and emotional in nature.  Barbara’s emotional and perceptual experience counts, for her, as evidence that something supernatural is going on.  She had no reason to question her feelings qua feelings - her aberrant or overwhelming feelings are experienced as real and meaningful.  We don’t routinely ask ourselves whether our experiences are real or not.  If, for example, I feel joyous I would look for an explanation in the environment or in my lived experience.  Indeed it would be most unusual for me to think that I might be feeling this way because there was something wrong with my brain. </w:t>
      </w:r>
    </w:p>
    <w:p w:rsidR="00483CD4" w:rsidRDefault="008E3B92" w:rsidP="008E3B92">
      <w:pPr>
        <w:ind w:firstLine="180"/>
        <w:jc w:val="both"/>
        <w:rPr>
          <w:rStyle w:val="MyFirstParChar"/>
        </w:rPr>
      </w:pPr>
      <w:r w:rsidRPr="008E3B92">
        <w:rPr>
          <w:rStyle w:val="MyFirstParChar"/>
        </w:rPr>
        <w:t xml:space="preserve">Barbara’s process is an ordinary process that philosophers, scientists and others undertake in everyday life to understand how the world </w:t>
      </w:r>
      <w:r w:rsidR="00B04658">
        <w:rPr>
          <w:rStyle w:val="MyFirstParChar"/>
        </w:rPr>
        <w:t>works and how they relate to it</w:t>
      </w:r>
      <w:r w:rsidRPr="008E3B92">
        <w:rPr>
          <w:rStyle w:val="MyFirstParChar"/>
        </w:rPr>
        <w:t>.</w:t>
      </w:r>
      <w:r w:rsidR="00B04658">
        <w:rPr>
          <w:rStyle w:val="FootnoteReference"/>
          <w:sz w:val="18"/>
          <w:szCs w:val="18"/>
        </w:rPr>
        <w:footnoteReference w:id="7"/>
      </w:r>
      <w:r w:rsidRPr="008E3B92">
        <w:rPr>
          <w:rStyle w:val="MyFirstParChar"/>
        </w:rPr>
        <w:t xml:space="preserve">  This process works well when our experiences of the world are ordinary and can be shared in common language.  The difference here is that Barbara is hypothesis testing about her direct apperception of the world, she has new emotional and perceptual data that no one </w:t>
      </w:r>
      <w:r w:rsidRPr="008E3B92">
        <w:rPr>
          <w:rStyle w:val="MyFirstParChar"/>
        </w:rPr>
        <w:lastRenderedPageBreak/>
        <w:t xml:space="preserve">else has access to (which is increasing as time goes on) and there are no ‘real world’ explanations available to her.  After her detective like analysis of her experience she ultimately concludes (like the (fictional) hyper-rational detective Sherlock Holmes) that “…when you have eliminated all which is impossible, then whatever remains, </w:t>
      </w:r>
      <w:r w:rsidR="00B04658">
        <w:rPr>
          <w:rStyle w:val="MyFirstParChar"/>
          <w:i/>
        </w:rPr>
        <w:t>however improbable</w:t>
      </w:r>
      <w:r w:rsidR="00B04658">
        <w:rPr>
          <w:rStyle w:val="MyFirstParChar"/>
        </w:rPr>
        <w:t>, must be the truth</w:t>
      </w:r>
      <w:bookmarkStart w:id="0" w:name="_GoBack"/>
      <w:bookmarkEnd w:id="0"/>
      <w:r w:rsidR="00B04658">
        <w:rPr>
          <w:rStyle w:val="MyFirstParChar"/>
        </w:rPr>
        <w:t>” [8</w:t>
      </w:r>
      <w:r w:rsidRPr="008E3B92">
        <w:rPr>
          <w:rStyle w:val="MyFirstParChar"/>
        </w:rPr>
        <w:t>, p. 93]</w:t>
      </w:r>
      <w:r w:rsidR="00483CD4" w:rsidRPr="00483CD4">
        <w:rPr>
          <w:rStyle w:val="MyFirstParChar"/>
        </w:rPr>
        <w:t>.</w:t>
      </w:r>
    </w:p>
    <w:p w:rsidR="002417D7" w:rsidRDefault="00D53130" w:rsidP="00D13AEE">
      <w:pPr>
        <w:pStyle w:val="MyH1"/>
        <w:outlineLvl w:val="0"/>
      </w:pPr>
      <w:r>
        <w:t>REFERENCES</w:t>
      </w:r>
    </w:p>
    <w:p w:rsidR="00841A98" w:rsidRPr="00D53130" w:rsidRDefault="00841A98" w:rsidP="00D53130">
      <w:pPr>
        <w:pStyle w:val="MyRef"/>
      </w:pPr>
      <w:r w:rsidRPr="00D53130">
        <w:t>[1]</w:t>
      </w:r>
      <w:r w:rsidR="004078EA">
        <w:t xml:space="preserve"> </w:t>
      </w:r>
      <w:r w:rsidR="00B2657F">
        <w:t xml:space="preserve">M. </w:t>
      </w:r>
      <w:proofErr w:type="spellStart"/>
      <w:r w:rsidR="00B2657F">
        <w:t>Maiese</w:t>
      </w:r>
      <w:proofErr w:type="spellEnd"/>
      <w:r w:rsidR="00B2657F">
        <w:t xml:space="preserve">. </w:t>
      </w:r>
      <w:r w:rsidR="004078EA" w:rsidRPr="004078EA">
        <w:rPr>
          <w:i/>
        </w:rPr>
        <w:t>Embodied Selves and Divided Minds</w:t>
      </w:r>
      <w:r w:rsidR="004078EA" w:rsidRPr="004078EA">
        <w:t>.</w:t>
      </w:r>
      <w:r w:rsidR="004078EA">
        <w:t xml:space="preserve"> </w:t>
      </w:r>
      <w:proofErr w:type="gramStart"/>
      <w:r w:rsidR="004078EA">
        <w:t>Oxford University Press (2015)</w:t>
      </w:r>
      <w:r w:rsidR="00D53130" w:rsidRPr="00D53130">
        <w:t>.</w:t>
      </w:r>
      <w:proofErr w:type="gramEnd"/>
    </w:p>
    <w:p w:rsidR="00236D11" w:rsidRDefault="005424F0" w:rsidP="00C21814">
      <w:pPr>
        <w:pStyle w:val="MyRef"/>
      </w:pPr>
      <w:r w:rsidRPr="00D53130">
        <w:rPr>
          <w:lang w:val="pt-BR"/>
        </w:rPr>
        <w:t xml:space="preserve">[2] </w:t>
      </w:r>
      <w:r w:rsidR="00B2657F">
        <w:rPr>
          <w:lang w:val="pt-BR"/>
        </w:rPr>
        <w:t>A.R. Damasio</w:t>
      </w:r>
      <w:r w:rsidR="004078EA" w:rsidRPr="004078EA">
        <w:rPr>
          <w:lang w:val="pt-BR"/>
        </w:rPr>
        <w:t xml:space="preserve">. The somatic marker hypothesis and the possible functions of the prefrontal cortex. </w:t>
      </w:r>
      <w:r w:rsidR="004078EA" w:rsidRPr="004078EA">
        <w:rPr>
          <w:i/>
          <w:lang w:val="pt-BR"/>
        </w:rPr>
        <w:t>Philosophical Transactions of the Royal Society of London. Series B, Biological Sciences</w:t>
      </w:r>
      <w:r w:rsidR="004078EA" w:rsidRPr="004078EA">
        <w:rPr>
          <w:lang w:val="pt-BR"/>
        </w:rPr>
        <w:t xml:space="preserve">, </w:t>
      </w:r>
      <w:r w:rsidR="004078EA" w:rsidRPr="004078EA">
        <w:rPr>
          <w:b/>
          <w:lang w:val="pt-BR"/>
        </w:rPr>
        <w:t>351</w:t>
      </w:r>
      <w:r w:rsidR="004078EA" w:rsidRPr="004078EA">
        <w:rPr>
          <w:lang w:val="pt-BR"/>
        </w:rPr>
        <w:t>(1346): 1413–1420 (1996).</w:t>
      </w:r>
    </w:p>
    <w:p w:rsidR="00C146AF" w:rsidRDefault="004078EA" w:rsidP="00C146AF">
      <w:pPr>
        <w:pStyle w:val="MyRef"/>
      </w:pPr>
      <w:r>
        <w:rPr>
          <w:lang w:val="pt-BR"/>
        </w:rPr>
        <w:t xml:space="preserve">[3] </w:t>
      </w:r>
      <w:r w:rsidR="00B2657F">
        <w:rPr>
          <w:lang w:val="pt-BR"/>
        </w:rPr>
        <w:t>A.R. Damasio</w:t>
      </w:r>
      <w:r w:rsidRPr="004078EA">
        <w:rPr>
          <w:lang w:val="pt-BR"/>
        </w:rPr>
        <w:t xml:space="preserve">. </w:t>
      </w:r>
      <w:r w:rsidRPr="004078EA">
        <w:rPr>
          <w:i/>
          <w:lang w:val="pt-BR"/>
        </w:rPr>
        <w:t>The Feeling of What Happens: Body and Emotion in the Making of Consciousness</w:t>
      </w:r>
      <w:r w:rsidRPr="004078EA">
        <w:rPr>
          <w:lang w:val="pt-BR"/>
        </w:rPr>
        <w:t>. London: William Heinemann (2000).</w:t>
      </w:r>
    </w:p>
    <w:p w:rsidR="00236D11" w:rsidRDefault="00C146AF" w:rsidP="00C146AF">
      <w:pPr>
        <w:pStyle w:val="MyRef"/>
      </w:pPr>
      <w:r>
        <w:t>[4</w:t>
      </w:r>
      <w:r w:rsidR="00D53130">
        <w:t xml:space="preserve">] </w:t>
      </w:r>
      <w:r w:rsidR="00B2657F">
        <w:t>J.J. Gibson</w:t>
      </w:r>
      <w:r w:rsidR="004078EA" w:rsidRPr="004078EA">
        <w:t xml:space="preserve">. </w:t>
      </w:r>
      <w:proofErr w:type="gramStart"/>
      <w:r w:rsidR="004078EA" w:rsidRPr="004078EA">
        <w:t>The theory of affordances.</w:t>
      </w:r>
      <w:proofErr w:type="gramEnd"/>
      <w:r w:rsidR="004078EA" w:rsidRPr="004078EA">
        <w:t xml:space="preserve"> In Shaw, R. and </w:t>
      </w:r>
      <w:proofErr w:type="spellStart"/>
      <w:r w:rsidR="004078EA" w:rsidRPr="004078EA">
        <w:t>Bransford</w:t>
      </w:r>
      <w:proofErr w:type="spellEnd"/>
      <w:r w:rsidR="004078EA" w:rsidRPr="004078EA">
        <w:t xml:space="preserve">, J. (eds.) </w:t>
      </w:r>
      <w:r w:rsidR="004078EA" w:rsidRPr="004078EA">
        <w:rPr>
          <w:i/>
        </w:rPr>
        <w:t>Perceiving, Acting, and Knowing: Toward an Ecological Psychology</w:t>
      </w:r>
      <w:r w:rsidR="00C753D5">
        <w:t>. New York: Wiley &amp; Sons,</w:t>
      </w:r>
      <w:r w:rsidR="004078EA" w:rsidRPr="004078EA">
        <w:t xml:space="preserve"> pp. 127–143 (1977).</w:t>
      </w:r>
    </w:p>
    <w:p w:rsidR="00236D11" w:rsidRDefault="00C146AF" w:rsidP="00C21814">
      <w:pPr>
        <w:pStyle w:val="MyRef"/>
      </w:pPr>
      <w:r>
        <w:t>[5</w:t>
      </w:r>
      <w:r w:rsidR="00C753D5">
        <w:t xml:space="preserve">] </w:t>
      </w:r>
      <w:r w:rsidR="00B2657F">
        <w:t xml:space="preserve">A.R. </w:t>
      </w:r>
      <w:proofErr w:type="spellStart"/>
      <w:r w:rsidR="00B2657F">
        <w:t>Damasio</w:t>
      </w:r>
      <w:proofErr w:type="spellEnd"/>
      <w:r w:rsidR="00C753D5" w:rsidRPr="00C753D5">
        <w:t xml:space="preserve">. </w:t>
      </w:r>
      <w:r w:rsidR="00C753D5" w:rsidRPr="00C753D5">
        <w:rPr>
          <w:i/>
        </w:rPr>
        <w:t>Descartes’ Error: Emotion, Reason and the Human Brain</w:t>
      </w:r>
      <w:r w:rsidR="00C753D5" w:rsidRPr="00C753D5">
        <w:t>. London: Vintage (2006).</w:t>
      </w:r>
      <w:r w:rsidR="00236D11">
        <w:t xml:space="preserve"> </w:t>
      </w:r>
    </w:p>
    <w:p w:rsidR="00955363" w:rsidRDefault="00955363" w:rsidP="00955363">
      <w:pPr>
        <w:pStyle w:val="MyRef"/>
      </w:pPr>
      <w:r>
        <w:t xml:space="preserve">[6] </w:t>
      </w:r>
      <w:r w:rsidR="00C753D5" w:rsidRPr="00C753D5">
        <w:t xml:space="preserve">American Psychiatric Association. </w:t>
      </w:r>
      <w:proofErr w:type="gramStart"/>
      <w:r w:rsidR="00C753D5" w:rsidRPr="00C753D5">
        <w:t>DSM-5 Task Force.</w:t>
      </w:r>
      <w:proofErr w:type="gramEnd"/>
      <w:r w:rsidR="00C753D5" w:rsidRPr="00C753D5">
        <w:t xml:space="preserve"> </w:t>
      </w:r>
      <w:r w:rsidR="00C753D5">
        <w:rPr>
          <w:i/>
        </w:rPr>
        <w:t>Diagnostic and Statistical Manual of Mental D</w:t>
      </w:r>
      <w:r w:rsidR="00C753D5" w:rsidRPr="00C753D5">
        <w:rPr>
          <w:i/>
        </w:rPr>
        <w:t>isorders</w:t>
      </w:r>
      <w:r w:rsidR="00C753D5" w:rsidRPr="00C753D5">
        <w:rPr>
          <w:rFonts w:ascii="Cambria Math" w:hAnsi="Cambria Math" w:cs="Cambria Math"/>
          <w:i/>
        </w:rPr>
        <w:t> </w:t>
      </w:r>
      <w:r w:rsidR="00C753D5" w:rsidRPr="00C753D5">
        <w:rPr>
          <w:i/>
        </w:rPr>
        <w:t>: DSM-5</w:t>
      </w:r>
      <w:r w:rsidR="00C753D5" w:rsidRPr="00C753D5">
        <w:t xml:space="preserve"> </w:t>
      </w:r>
      <w:r w:rsidR="00C753D5">
        <w:t>(</w:t>
      </w:r>
      <w:r w:rsidR="00C753D5" w:rsidRPr="00C753D5">
        <w:t xml:space="preserve">5th </w:t>
      </w:r>
      <w:proofErr w:type="gramStart"/>
      <w:r w:rsidR="00C753D5" w:rsidRPr="00C753D5">
        <w:t>ed</w:t>
      </w:r>
      <w:proofErr w:type="gramEnd"/>
      <w:r w:rsidR="00C753D5" w:rsidRPr="00C753D5">
        <w:t>.</w:t>
      </w:r>
      <w:r w:rsidR="00C753D5">
        <w:t>).</w:t>
      </w:r>
      <w:r w:rsidR="00C753D5" w:rsidRPr="00C753D5">
        <w:t xml:space="preserve"> Arlington, </w:t>
      </w:r>
      <w:proofErr w:type="spellStart"/>
      <w:proofErr w:type="gramStart"/>
      <w:r w:rsidR="00C753D5" w:rsidRPr="00C753D5">
        <w:t>Va</w:t>
      </w:r>
      <w:proofErr w:type="spellEnd"/>
      <w:proofErr w:type="gramEnd"/>
      <w:r w:rsidR="00C753D5" w:rsidRPr="00C753D5">
        <w:t>: American Psychiatric Association (2013).</w:t>
      </w:r>
    </w:p>
    <w:p w:rsidR="00C753D5" w:rsidRDefault="00955363" w:rsidP="00C674D1">
      <w:pPr>
        <w:pStyle w:val="MyRef"/>
      </w:pPr>
      <w:r>
        <w:t>[7</w:t>
      </w:r>
      <w:r w:rsidR="00C674D1">
        <w:t xml:space="preserve">] </w:t>
      </w:r>
      <w:r w:rsidR="00B2657F">
        <w:t>N. Rose</w:t>
      </w:r>
      <w:r w:rsidR="00C753D5" w:rsidRPr="00C753D5">
        <w:t xml:space="preserve">. (ed.) </w:t>
      </w:r>
      <w:r w:rsidR="00C753D5" w:rsidRPr="00C753D5">
        <w:rPr>
          <w:i/>
        </w:rPr>
        <w:t>Essential Psychiatry</w:t>
      </w:r>
      <w:r w:rsidR="00C753D5" w:rsidRPr="00C753D5">
        <w:t xml:space="preserve"> (2nd </w:t>
      </w:r>
      <w:proofErr w:type="gramStart"/>
      <w:r w:rsidR="00C753D5" w:rsidRPr="00C753D5">
        <w:t>ed</w:t>
      </w:r>
      <w:proofErr w:type="gramEnd"/>
      <w:r w:rsidR="00C753D5" w:rsidRPr="00C753D5">
        <w:t xml:space="preserve">.). Oxford: Blackwell Scientific Publications (1994). </w:t>
      </w:r>
    </w:p>
    <w:p w:rsidR="00696256" w:rsidRDefault="00955363" w:rsidP="00C674D1">
      <w:pPr>
        <w:pStyle w:val="MyRef"/>
      </w:pPr>
      <w:r>
        <w:t>[8</w:t>
      </w:r>
      <w:r w:rsidR="00696256" w:rsidRPr="00696256">
        <w:t>]</w:t>
      </w:r>
      <w:r w:rsidR="00C753D5">
        <w:t xml:space="preserve"> </w:t>
      </w:r>
      <w:r w:rsidR="00B2657F">
        <w:t>A.C. Doyle</w:t>
      </w:r>
      <w:r w:rsidR="00C753D5" w:rsidRPr="00C753D5">
        <w:t xml:space="preserve">. (1890) </w:t>
      </w:r>
      <w:proofErr w:type="gramStart"/>
      <w:r w:rsidR="00C753D5" w:rsidRPr="00C753D5">
        <w:t>The</w:t>
      </w:r>
      <w:proofErr w:type="gramEnd"/>
      <w:r w:rsidR="00C753D5" w:rsidRPr="00C753D5">
        <w:t xml:space="preserve"> Sign of Four. Spencer </w:t>
      </w:r>
      <w:proofErr w:type="spellStart"/>
      <w:r w:rsidR="00C753D5" w:rsidRPr="00C753D5">
        <w:t>Blackett</w:t>
      </w:r>
      <w:proofErr w:type="spellEnd"/>
      <w:r w:rsidR="00C753D5" w:rsidRPr="00C753D5">
        <w:t xml:space="preserve">. Available online </w:t>
      </w:r>
      <w:hyperlink r:id="rId9" w:history="1">
        <w:r w:rsidR="00C753D5" w:rsidRPr="000709CD">
          <w:rPr>
            <w:rStyle w:val="Hyperlink"/>
          </w:rPr>
          <w:t>https://sherlock-holm.es/stories/pdf/a4/1-sided/sign.pdf</w:t>
        </w:r>
      </w:hyperlink>
      <w:r w:rsidR="00C753D5">
        <w:t xml:space="preserve"> </w:t>
      </w:r>
      <w:r w:rsidR="00C753D5" w:rsidRPr="00C753D5">
        <w:t xml:space="preserve"> (accessed 20 March 2017).</w:t>
      </w:r>
    </w:p>
    <w:p w:rsidR="00C6327D" w:rsidRPr="00696256" w:rsidRDefault="00955363" w:rsidP="00C6327D">
      <w:pPr>
        <w:pStyle w:val="MyRef"/>
      </w:pPr>
      <w:r>
        <w:t>[9</w:t>
      </w:r>
      <w:r w:rsidR="00C753D5">
        <w:t xml:space="preserve">] </w:t>
      </w:r>
      <w:r w:rsidR="00B2657F">
        <w:t>B.A. Maher</w:t>
      </w:r>
      <w:r w:rsidR="00C753D5" w:rsidRPr="00C753D5">
        <w:t xml:space="preserve">. Delusional thinking and perceptual disorder. </w:t>
      </w:r>
      <w:r w:rsidR="00C753D5" w:rsidRPr="00C753D5">
        <w:rPr>
          <w:i/>
        </w:rPr>
        <w:t>Journal of Individual Psychology</w:t>
      </w:r>
      <w:r w:rsidR="00C753D5" w:rsidRPr="00C753D5">
        <w:t xml:space="preserve">, </w:t>
      </w:r>
      <w:r w:rsidR="00C753D5" w:rsidRPr="005C2CD9">
        <w:rPr>
          <w:b/>
        </w:rPr>
        <w:t>30</w:t>
      </w:r>
      <w:r w:rsidR="00C753D5" w:rsidRPr="00C753D5">
        <w:t>(1): 98–113 (1974).</w:t>
      </w:r>
    </w:p>
    <w:p w:rsidR="00C674D1" w:rsidRDefault="00955363" w:rsidP="005C2CD9">
      <w:pPr>
        <w:pStyle w:val="MyRef"/>
      </w:pPr>
      <w:r>
        <w:t xml:space="preserve">[10] </w:t>
      </w:r>
      <w:r w:rsidR="00B2657F">
        <w:t xml:space="preserve">M. </w:t>
      </w:r>
      <w:proofErr w:type="spellStart"/>
      <w:r w:rsidR="00B2657F">
        <w:t>Coltheart</w:t>
      </w:r>
      <w:proofErr w:type="spellEnd"/>
      <w:r w:rsidR="005C2CD9" w:rsidRPr="005C2CD9">
        <w:t xml:space="preserve">. The 33rd Sir Frederick Bartlett lecture: Cognitive neuropsychiatry and delusional belief. </w:t>
      </w:r>
      <w:r w:rsidR="005C2CD9" w:rsidRPr="005C2CD9">
        <w:rPr>
          <w:i/>
        </w:rPr>
        <w:t>The Quarterly Journal of Experimental Psychology</w:t>
      </w:r>
      <w:r w:rsidR="005C2CD9" w:rsidRPr="005C2CD9">
        <w:t xml:space="preserve">, </w:t>
      </w:r>
      <w:r w:rsidR="005C2CD9" w:rsidRPr="005C2CD9">
        <w:rPr>
          <w:b/>
        </w:rPr>
        <w:t>60</w:t>
      </w:r>
      <w:r w:rsidR="005C2CD9" w:rsidRPr="005C2CD9">
        <w:t>(8): 1041–1062 (2007).</w:t>
      </w:r>
    </w:p>
    <w:sectPr w:rsidR="00C674D1" w:rsidSect="00682B11">
      <w:type w:val="continuous"/>
      <w:pgSz w:w="11906" w:h="16838" w:code="9"/>
      <w:pgMar w:top="1701" w:right="1134" w:bottom="2325" w:left="1021" w:header="709" w:footer="709" w:gutter="0"/>
      <w:cols w:num="2" w:space="34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3CB" w:rsidRDefault="009E43CB">
      <w:r>
        <w:separator/>
      </w:r>
    </w:p>
  </w:endnote>
  <w:endnote w:type="continuationSeparator" w:id="0">
    <w:p w:rsidR="009E43CB" w:rsidRDefault="009E4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10101010101010101"/>
    <w:charset w:val="02"/>
    <w:family w:val="auto"/>
    <w:pitch w:val="variable"/>
    <w:sig w:usb0="00000000" w:usb1="10000000" w:usb2="00000000" w:usb3="00000000" w:csb0="80000000" w:csb1="00000000"/>
  </w:font>
  <w:font w:name="Times">
    <w:panose1 w:val="020206030504050203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800022EF" w:usb1="C000205A" w:usb2="00000008" w:usb3="00000000" w:csb0="00000057"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3CB" w:rsidRDefault="009E43CB">
      <w:r>
        <w:separator/>
      </w:r>
    </w:p>
  </w:footnote>
  <w:footnote w:type="continuationSeparator" w:id="0">
    <w:p w:rsidR="009E43CB" w:rsidRDefault="009E43CB">
      <w:r>
        <w:continuationSeparator/>
      </w:r>
    </w:p>
  </w:footnote>
  <w:footnote w:id="1">
    <w:p w:rsidR="003B7373" w:rsidRDefault="003B7373" w:rsidP="003B7373">
      <w:pPr>
        <w:pStyle w:val="FootnoteText"/>
        <w:jc w:val="both"/>
      </w:pPr>
      <w:r>
        <w:rPr>
          <w:rStyle w:val="FootnoteReference"/>
        </w:rPr>
        <w:footnoteRef/>
      </w:r>
      <w:r>
        <w:t xml:space="preserve"> </w:t>
      </w:r>
      <w:r w:rsidR="008E3B92" w:rsidRPr="008E3B92">
        <w:rPr>
          <w:sz w:val="16"/>
          <w:szCs w:val="16"/>
        </w:rPr>
        <w:t>Department of Philosophy, Edgbaston, University of Birmingham, B15 2TT,</w:t>
      </w:r>
      <w:r w:rsidR="008E3B92">
        <w:t xml:space="preserve"> </w:t>
      </w:r>
      <w:r w:rsidR="008E3B92">
        <w:rPr>
          <w:sz w:val="16"/>
          <w:szCs w:val="16"/>
        </w:rPr>
        <w:t>e</w:t>
      </w:r>
      <w:r w:rsidRPr="003B7373">
        <w:rPr>
          <w:sz w:val="16"/>
          <w:szCs w:val="16"/>
        </w:rPr>
        <w:t xml:space="preserve">mail: </w:t>
      </w:r>
      <w:r w:rsidR="00131C51" w:rsidRPr="008E3B92">
        <w:rPr>
          <w:rFonts w:ascii="Courier New" w:hAnsi="Courier New" w:cs="Courier New"/>
          <w:b/>
          <w:sz w:val="16"/>
          <w:szCs w:val="16"/>
        </w:rPr>
        <w:t>RRG321@bham.ac.uk</w:t>
      </w:r>
    </w:p>
  </w:footnote>
  <w:footnote w:id="2">
    <w:p w:rsidR="00B04658" w:rsidRPr="00B04658" w:rsidRDefault="00B04658">
      <w:pPr>
        <w:pStyle w:val="FootnoteText"/>
        <w:rPr>
          <w:lang w:val="en-US"/>
        </w:rPr>
      </w:pPr>
      <w:r>
        <w:rPr>
          <w:rStyle w:val="FootnoteReference"/>
        </w:rPr>
        <w:footnoteRef/>
      </w:r>
      <w:r>
        <w:t xml:space="preserve"> </w:t>
      </w:r>
      <w:r w:rsidRPr="00B04658">
        <w:rPr>
          <w:sz w:val="16"/>
          <w:szCs w:val="16"/>
        </w:rPr>
        <w:t xml:space="preserve">Whilst he does not use the same terminology (and he also posits the existence of representational states, which may or may not be necessary for the enactivist) Antonio </w:t>
      </w:r>
      <w:proofErr w:type="spellStart"/>
      <w:r w:rsidRPr="00B04658">
        <w:rPr>
          <w:sz w:val="16"/>
          <w:szCs w:val="16"/>
        </w:rPr>
        <w:t>Damasio</w:t>
      </w:r>
      <w:proofErr w:type="spellEnd"/>
      <w:r w:rsidRPr="00B04658">
        <w:rPr>
          <w:sz w:val="16"/>
          <w:szCs w:val="16"/>
        </w:rPr>
        <w:t xml:space="preserve"> has written extensively on the different ‘states’ of this kind of experience: bodily (or somatic) emotion, feeling and feeling made conscious [2</w:t>
      </w:r>
      <w:proofErr w:type="gramStart"/>
      <w:r w:rsidRPr="00B04658">
        <w:rPr>
          <w:sz w:val="16"/>
          <w:szCs w:val="16"/>
        </w:rPr>
        <w:t>,3</w:t>
      </w:r>
      <w:proofErr w:type="gramEnd"/>
      <w:r w:rsidRPr="00B04658">
        <w:rPr>
          <w:sz w:val="16"/>
          <w:szCs w:val="16"/>
        </w:rPr>
        <w:t>].</w:t>
      </w:r>
    </w:p>
  </w:footnote>
  <w:footnote w:id="3">
    <w:p w:rsidR="008E3B92" w:rsidRPr="008E3B92" w:rsidRDefault="008E3B92">
      <w:pPr>
        <w:pStyle w:val="FootnoteText"/>
        <w:rPr>
          <w:lang w:val="en-US"/>
        </w:rPr>
      </w:pPr>
      <w:r>
        <w:rPr>
          <w:rStyle w:val="FootnoteReference"/>
        </w:rPr>
        <w:footnoteRef/>
      </w:r>
      <w:r>
        <w:t xml:space="preserve"> </w:t>
      </w:r>
      <w:r w:rsidRPr="008E3B92">
        <w:rPr>
          <w:sz w:val="16"/>
          <w:szCs w:val="16"/>
          <w:lang w:val="en-US"/>
        </w:rPr>
        <w:t>See [4].</w:t>
      </w:r>
    </w:p>
  </w:footnote>
  <w:footnote w:id="4">
    <w:p w:rsidR="008E3B92" w:rsidRPr="008E3B92" w:rsidRDefault="008E3B92">
      <w:pPr>
        <w:pStyle w:val="FootnoteText"/>
        <w:rPr>
          <w:lang w:val="en-US"/>
        </w:rPr>
      </w:pPr>
      <w:r>
        <w:rPr>
          <w:rStyle w:val="FootnoteReference"/>
        </w:rPr>
        <w:footnoteRef/>
      </w:r>
      <w:r>
        <w:t xml:space="preserve"> </w:t>
      </w:r>
      <w:proofErr w:type="spellStart"/>
      <w:r w:rsidRPr="00792760">
        <w:rPr>
          <w:rFonts w:eastAsia="Arial Unicode MS"/>
          <w:sz w:val="16"/>
          <w:szCs w:val="16"/>
        </w:rPr>
        <w:t>Damasio</w:t>
      </w:r>
      <w:proofErr w:type="spellEnd"/>
      <w:r w:rsidRPr="00792760">
        <w:rPr>
          <w:rFonts w:eastAsia="Arial Unicode MS"/>
          <w:sz w:val="16"/>
          <w:szCs w:val="16"/>
        </w:rPr>
        <w:t xml:space="preserve"> would call these emotional representations.  I prefer to remain agnostic about any requirement for a </w:t>
      </w:r>
      <w:proofErr w:type="spellStart"/>
      <w:r w:rsidRPr="00792760">
        <w:rPr>
          <w:rFonts w:eastAsia="Arial Unicode MS"/>
          <w:sz w:val="16"/>
          <w:szCs w:val="16"/>
        </w:rPr>
        <w:t>representionalist</w:t>
      </w:r>
      <w:proofErr w:type="spellEnd"/>
      <w:r w:rsidRPr="00792760">
        <w:rPr>
          <w:rFonts w:eastAsia="Arial Unicode MS"/>
          <w:sz w:val="16"/>
          <w:szCs w:val="16"/>
        </w:rPr>
        <w:t xml:space="preserve"> conceptualization of mind.</w:t>
      </w:r>
    </w:p>
  </w:footnote>
  <w:footnote w:id="5">
    <w:p w:rsidR="008E3B92" w:rsidRPr="008E3B92" w:rsidRDefault="008E3B92">
      <w:pPr>
        <w:pStyle w:val="FootnoteText"/>
        <w:rPr>
          <w:lang w:val="en-US"/>
        </w:rPr>
      </w:pPr>
      <w:r>
        <w:rPr>
          <w:rStyle w:val="FootnoteReference"/>
        </w:rPr>
        <w:footnoteRef/>
      </w:r>
      <w:r>
        <w:t xml:space="preserve"> </w:t>
      </w:r>
      <w:r w:rsidRPr="00792760">
        <w:rPr>
          <w:sz w:val="16"/>
          <w:szCs w:val="16"/>
          <w:lang w:val="en-US"/>
        </w:rPr>
        <w:t>An individual is said to have grandiose delusions when the delusion meets the general criteria for clinically significant delusion and “…when an individual believes that he or she has exceptional abilities, wealth, or fame</w:t>
      </w:r>
      <w:r w:rsidR="00B04658">
        <w:rPr>
          <w:sz w:val="16"/>
          <w:szCs w:val="16"/>
          <w:lang w:val="en-US"/>
        </w:rPr>
        <w:t xml:space="preserve"> [6, p. 87].</w:t>
      </w:r>
    </w:p>
  </w:footnote>
  <w:footnote w:id="6">
    <w:p w:rsidR="00B04658" w:rsidRPr="00B04658" w:rsidRDefault="00B04658">
      <w:pPr>
        <w:pStyle w:val="FootnoteText"/>
        <w:rPr>
          <w:lang w:val="en-US"/>
        </w:rPr>
      </w:pPr>
      <w:r>
        <w:rPr>
          <w:rStyle w:val="FootnoteReference"/>
        </w:rPr>
        <w:footnoteRef/>
      </w:r>
      <w:r>
        <w:t xml:space="preserve"> </w:t>
      </w:r>
      <w:r w:rsidRPr="00B04658">
        <w:rPr>
          <w:sz w:val="16"/>
          <w:szCs w:val="16"/>
        </w:rPr>
        <w:t xml:space="preserve">A delusion of reference is “The feeling that causal incidents and external events have a particular and unusual meaning that is specific to the person. </w:t>
      </w:r>
      <w:proofErr w:type="gramStart"/>
      <w:r w:rsidRPr="00B04658">
        <w:rPr>
          <w:sz w:val="16"/>
          <w:szCs w:val="16"/>
        </w:rPr>
        <w:t>An idea of reference is to be distinguished from a DELUSION OF REFERENCE, in which there is a belief that is held with delusional conviction” [6</w:t>
      </w:r>
      <w:r>
        <w:rPr>
          <w:sz w:val="16"/>
          <w:szCs w:val="16"/>
        </w:rPr>
        <w:t>, p. 823</w:t>
      </w:r>
      <w:r w:rsidRPr="00B04658">
        <w:rPr>
          <w:sz w:val="16"/>
          <w:szCs w:val="16"/>
        </w:rPr>
        <w:t>].</w:t>
      </w:r>
      <w:proofErr w:type="gramEnd"/>
    </w:p>
  </w:footnote>
  <w:footnote w:id="7">
    <w:p w:rsidR="00B04658" w:rsidRPr="00B04658" w:rsidRDefault="00B04658">
      <w:pPr>
        <w:pStyle w:val="FootnoteText"/>
        <w:rPr>
          <w:lang w:val="en-US"/>
        </w:rPr>
      </w:pPr>
      <w:r>
        <w:rPr>
          <w:rStyle w:val="FootnoteReference"/>
        </w:rPr>
        <w:footnoteRef/>
      </w:r>
      <w:r>
        <w:t xml:space="preserve"> </w:t>
      </w:r>
      <w:r w:rsidRPr="00B04658">
        <w:rPr>
          <w:sz w:val="16"/>
          <w:szCs w:val="16"/>
        </w:rPr>
        <w:t>This conceptualisation might be described as being in line with the so-called one-factor model for delusion formation which holds that a person with anomalous experience becomes delusional due to the direct private experience and no reasoning problem or cognitive deficit is required for this to occur see for example [9].  This can be contrasted with the two-factor model which holds that a reasoning bias or cognitive deficit is also required for delusion formation</w:t>
      </w:r>
      <w:r>
        <w:rPr>
          <w:sz w:val="16"/>
          <w:szCs w:val="16"/>
        </w:rPr>
        <w:t>;</w:t>
      </w:r>
      <w:r w:rsidRPr="00B04658">
        <w:rPr>
          <w:sz w:val="16"/>
          <w:szCs w:val="16"/>
        </w:rPr>
        <w:t xml:space="preserve"> see for example [10].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D001DC"/>
    <w:multiLevelType w:val="hybridMultilevel"/>
    <w:tmpl w:val="A232CCDA"/>
    <w:lvl w:ilvl="0" w:tplc="47562F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620104CD"/>
    <w:multiLevelType w:val="hybridMultilevel"/>
    <w:tmpl w:val="B290DF50"/>
    <w:lvl w:ilvl="0" w:tplc="733A1416">
      <w:numFmt w:val="bullet"/>
      <w:lvlText w:val=""/>
      <w:lvlJc w:val="left"/>
      <w:pPr>
        <w:tabs>
          <w:tab w:val="num" w:pos="755"/>
        </w:tabs>
        <w:ind w:left="755" w:hanging="360"/>
      </w:pPr>
      <w:rPr>
        <w:rFonts w:ascii="Symbol" w:eastAsia="Times New Roman" w:hAnsi="Symbol" w:cs="Times New Roman" w:hint="default"/>
      </w:rPr>
    </w:lvl>
    <w:lvl w:ilvl="1" w:tplc="08090003" w:tentative="1">
      <w:start w:val="1"/>
      <w:numFmt w:val="bullet"/>
      <w:lvlText w:val="o"/>
      <w:lvlJc w:val="left"/>
      <w:pPr>
        <w:tabs>
          <w:tab w:val="num" w:pos="1655"/>
        </w:tabs>
        <w:ind w:left="1655" w:hanging="360"/>
      </w:pPr>
      <w:rPr>
        <w:rFonts w:ascii="Courier New" w:hAnsi="Courier New" w:cs="Courier New" w:hint="default"/>
      </w:rPr>
    </w:lvl>
    <w:lvl w:ilvl="2" w:tplc="08090005" w:tentative="1">
      <w:start w:val="1"/>
      <w:numFmt w:val="bullet"/>
      <w:lvlText w:val=""/>
      <w:lvlJc w:val="left"/>
      <w:pPr>
        <w:tabs>
          <w:tab w:val="num" w:pos="2375"/>
        </w:tabs>
        <w:ind w:left="2375" w:hanging="360"/>
      </w:pPr>
      <w:rPr>
        <w:rFonts w:ascii="Wingdings" w:hAnsi="Wingdings" w:hint="default"/>
      </w:rPr>
    </w:lvl>
    <w:lvl w:ilvl="3" w:tplc="08090001" w:tentative="1">
      <w:start w:val="1"/>
      <w:numFmt w:val="bullet"/>
      <w:lvlText w:val=""/>
      <w:lvlJc w:val="left"/>
      <w:pPr>
        <w:tabs>
          <w:tab w:val="num" w:pos="3095"/>
        </w:tabs>
        <w:ind w:left="3095" w:hanging="360"/>
      </w:pPr>
      <w:rPr>
        <w:rFonts w:ascii="Symbol" w:hAnsi="Symbol" w:hint="default"/>
      </w:rPr>
    </w:lvl>
    <w:lvl w:ilvl="4" w:tplc="08090003" w:tentative="1">
      <w:start w:val="1"/>
      <w:numFmt w:val="bullet"/>
      <w:lvlText w:val="o"/>
      <w:lvlJc w:val="left"/>
      <w:pPr>
        <w:tabs>
          <w:tab w:val="num" w:pos="3815"/>
        </w:tabs>
        <w:ind w:left="3815" w:hanging="360"/>
      </w:pPr>
      <w:rPr>
        <w:rFonts w:ascii="Courier New" w:hAnsi="Courier New" w:cs="Courier New" w:hint="default"/>
      </w:rPr>
    </w:lvl>
    <w:lvl w:ilvl="5" w:tplc="08090005" w:tentative="1">
      <w:start w:val="1"/>
      <w:numFmt w:val="bullet"/>
      <w:lvlText w:val=""/>
      <w:lvlJc w:val="left"/>
      <w:pPr>
        <w:tabs>
          <w:tab w:val="num" w:pos="4535"/>
        </w:tabs>
        <w:ind w:left="4535" w:hanging="360"/>
      </w:pPr>
      <w:rPr>
        <w:rFonts w:ascii="Wingdings" w:hAnsi="Wingdings" w:hint="default"/>
      </w:rPr>
    </w:lvl>
    <w:lvl w:ilvl="6" w:tplc="08090001" w:tentative="1">
      <w:start w:val="1"/>
      <w:numFmt w:val="bullet"/>
      <w:lvlText w:val=""/>
      <w:lvlJc w:val="left"/>
      <w:pPr>
        <w:tabs>
          <w:tab w:val="num" w:pos="5255"/>
        </w:tabs>
        <w:ind w:left="5255" w:hanging="360"/>
      </w:pPr>
      <w:rPr>
        <w:rFonts w:ascii="Symbol" w:hAnsi="Symbol" w:hint="default"/>
      </w:rPr>
    </w:lvl>
    <w:lvl w:ilvl="7" w:tplc="08090003" w:tentative="1">
      <w:start w:val="1"/>
      <w:numFmt w:val="bullet"/>
      <w:lvlText w:val="o"/>
      <w:lvlJc w:val="left"/>
      <w:pPr>
        <w:tabs>
          <w:tab w:val="num" w:pos="5975"/>
        </w:tabs>
        <w:ind w:left="5975" w:hanging="360"/>
      </w:pPr>
      <w:rPr>
        <w:rFonts w:ascii="Courier New" w:hAnsi="Courier New" w:cs="Courier New" w:hint="default"/>
      </w:rPr>
    </w:lvl>
    <w:lvl w:ilvl="8" w:tplc="08090005" w:tentative="1">
      <w:start w:val="1"/>
      <w:numFmt w:val="bullet"/>
      <w:lvlText w:val=""/>
      <w:lvlJc w:val="left"/>
      <w:pPr>
        <w:tabs>
          <w:tab w:val="num" w:pos="6695"/>
        </w:tabs>
        <w:ind w:left="6695"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3E9"/>
    <w:rsid w:val="000137E9"/>
    <w:rsid w:val="00015256"/>
    <w:rsid w:val="000171D0"/>
    <w:rsid w:val="00022849"/>
    <w:rsid w:val="0004504D"/>
    <w:rsid w:val="00045F4B"/>
    <w:rsid w:val="00046B4C"/>
    <w:rsid w:val="0005116D"/>
    <w:rsid w:val="000524F2"/>
    <w:rsid w:val="00063D82"/>
    <w:rsid w:val="00063E7E"/>
    <w:rsid w:val="000B0F27"/>
    <w:rsid w:val="000C67E6"/>
    <w:rsid w:val="000D1A3D"/>
    <w:rsid w:val="000D22AF"/>
    <w:rsid w:val="000D25DE"/>
    <w:rsid w:val="000E0543"/>
    <w:rsid w:val="000E225B"/>
    <w:rsid w:val="000E4E7A"/>
    <w:rsid w:val="000E5B4E"/>
    <w:rsid w:val="000F1145"/>
    <w:rsid w:val="000F4C14"/>
    <w:rsid w:val="001040B4"/>
    <w:rsid w:val="001130B7"/>
    <w:rsid w:val="00117106"/>
    <w:rsid w:val="001179AD"/>
    <w:rsid w:val="00131C51"/>
    <w:rsid w:val="001322CC"/>
    <w:rsid w:val="001346A8"/>
    <w:rsid w:val="00140131"/>
    <w:rsid w:val="00165E90"/>
    <w:rsid w:val="00166BF3"/>
    <w:rsid w:val="00172F7A"/>
    <w:rsid w:val="00185A1B"/>
    <w:rsid w:val="001946DB"/>
    <w:rsid w:val="001B36A4"/>
    <w:rsid w:val="001C1377"/>
    <w:rsid w:val="001F6076"/>
    <w:rsid w:val="001F7512"/>
    <w:rsid w:val="001F7810"/>
    <w:rsid w:val="00200CDD"/>
    <w:rsid w:val="00225F73"/>
    <w:rsid w:val="00226A19"/>
    <w:rsid w:val="002277C6"/>
    <w:rsid w:val="00233CA5"/>
    <w:rsid w:val="00236D11"/>
    <w:rsid w:val="002417D7"/>
    <w:rsid w:val="00243A0D"/>
    <w:rsid w:val="0028014D"/>
    <w:rsid w:val="002849B1"/>
    <w:rsid w:val="00292928"/>
    <w:rsid w:val="0029443B"/>
    <w:rsid w:val="00295788"/>
    <w:rsid w:val="002A3EBC"/>
    <w:rsid w:val="002A3F49"/>
    <w:rsid w:val="002A6FB6"/>
    <w:rsid w:val="002B085F"/>
    <w:rsid w:val="002C7551"/>
    <w:rsid w:val="002D048B"/>
    <w:rsid w:val="002D728C"/>
    <w:rsid w:val="002E7BC3"/>
    <w:rsid w:val="002F06EB"/>
    <w:rsid w:val="003054F6"/>
    <w:rsid w:val="00313678"/>
    <w:rsid w:val="00317B32"/>
    <w:rsid w:val="00321622"/>
    <w:rsid w:val="00336F60"/>
    <w:rsid w:val="00356B8B"/>
    <w:rsid w:val="003745D2"/>
    <w:rsid w:val="003851C2"/>
    <w:rsid w:val="003869C2"/>
    <w:rsid w:val="003926A5"/>
    <w:rsid w:val="003B7373"/>
    <w:rsid w:val="003C3D49"/>
    <w:rsid w:val="003C4623"/>
    <w:rsid w:val="003C5C45"/>
    <w:rsid w:val="003C68D3"/>
    <w:rsid w:val="003E4830"/>
    <w:rsid w:val="003E4F13"/>
    <w:rsid w:val="003F45C0"/>
    <w:rsid w:val="004078EA"/>
    <w:rsid w:val="0041418D"/>
    <w:rsid w:val="00415E78"/>
    <w:rsid w:val="00422CB3"/>
    <w:rsid w:val="00423AB0"/>
    <w:rsid w:val="0048179F"/>
    <w:rsid w:val="0048184C"/>
    <w:rsid w:val="0048346D"/>
    <w:rsid w:val="004837D9"/>
    <w:rsid w:val="00483CD4"/>
    <w:rsid w:val="00490EF4"/>
    <w:rsid w:val="0049163C"/>
    <w:rsid w:val="004A4DE3"/>
    <w:rsid w:val="004D37B5"/>
    <w:rsid w:val="004D5C07"/>
    <w:rsid w:val="004D5EFE"/>
    <w:rsid w:val="004E77B6"/>
    <w:rsid w:val="00500503"/>
    <w:rsid w:val="005232E8"/>
    <w:rsid w:val="005424F0"/>
    <w:rsid w:val="00544514"/>
    <w:rsid w:val="0056184A"/>
    <w:rsid w:val="00561ECE"/>
    <w:rsid w:val="00586501"/>
    <w:rsid w:val="005920EC"/>
    <w:rsid w:val="005B25CF"/>
    <w:rsid w:val="005C2CD9"/>
    <w:rsid w:val="005C716F"/>
    <w:rsid w:val="005D28CD"/>
    <w:rsid w:val="005D3093"/>
    <w:rsid w:val="005E2E52"/>
    <w:rsid w:val="005F19BF"/>
    <w:rsid w:val="005F6E4A"/>
    <w:rsid w:val="005F7642"/>
    <w:rsid w:val="006036CE"/>
    <w:rsid w:val="00627A80"/>
    <w:rsid w:val="00641FC3"/>
    <w:rsid w:val="006479DF"/>
    <w:rsid w:val="006509FB"/>
    <w:rsid w:val="006516DC"/>
    <w:rsid w:val="00654AFB"/>
    <w:rsid w:val="0067601D"/>
    <w:rsid w:val="00677CBC"/>
    <w:rsid w:val="00682B11"/>
    <w:rsid w:val="0068560C"/>
    <w:rsid w:val="00686E58"/>
    <w:rsid w:val="00692B25"/>
    <w:rsid w:val="00696256"/>
    <w:rsid w:val="006A0721"/>
    <w:rsid w:val="006A2C04"/>
    <w:rsid w:val="006B33C1"/>
    <w:rsid w:val="006C1CEE"/>
    <w:rsid w:val="006D23ED"/>
    <w:rsid w:val="006D31A3"/>
    <w:rsid w:val="006D63BA"/>
    <w:rsid w:val="006E1283"/>
    <w:rsid w:val="006E5A15"/>
    <w:rsid w:val="006E5F1B"/>
    <w:rsid w:val="006E76C0"/>
    <w:rsid w:val="006F166C"/>
    <w:rsid w:val="006F366F"/>
    <w:rsid w:val="006F6577"/>
    <w:rsid w:val="00701067"/>
    <w:rsid w:val="007106BC"/>
    <w:rsid w:val="00715CCD"/>
    <w:rsid w:val="007202D3"/>
    <w:rsid w:val="007276D2"/>
    <w:rsid w:val="00731391"/>
    <w:rsid w:val="00732F57"/>
    <w:rsid w:val="00733D8E"/>
    <w:rsid w:val="00740DBD"/>
    <w:rsid w:val="0074481F"/>
    <w:rsid w:val="00756138"/>
    <w:rsid w:val="007660E7"/>
    <w:rsid w:val="00771717"/>
    <w:rsid w:val="007753E6"/>
    <w:rsid w:val="007807CC"/>
    <w:rsid w:val="00790142"/>
    <w:rsid w:val="007A0FAF"/>
    <w:rsid w:val="007A6D3A"/>
    <w:rsid w:val="007B2A63"/>
    <w:rsid w:val="007B62F0"/>
    <w:rsid w:val="007C3384"/>
    <w:rsid w:val="007C68B7"/>
    <w:rsid w:val="007F37E5"/>
    <w:rsid w:val="007F3966"/>
    <w:rsid w:val="007F5894"/>
    <w:rsid w:val="007F6E85"/>
    <w:rsid w:val="007F7911"/>
    <w:rsid w:val="008023D0"/>
    <w:rsid w:val="00806474"/>
    <w:rsid w:val="00813FC2"/>
    <w:rsid w:val="00816009"/>
    <w:rsid w:val="0081696E"/>
    <w:rsid w:val="008215A5"/>
    <w:rsid w:val="008309E0"/>
    <w:rsid w:val="0083260D"/>
    <w:rsid w:val="00841A98"/>
    <w:rsid w:val="008420A5"/>
    <w:rsid w:val="0084597E"/>
    <w:rsid w:val="008474FB"/>
    <w:rsid w:val="00850075"/>
    <w:rsid w:val="00863D43"/>
    <w:rsid w:val="008658B4"/>
    <w:rsid w:val="00875E2A"/>
    <w:rsid w:val="0089649E"/>
    <w:rsid w:val="00896A3E"/>
    <w:rsid w:val="008A2234"/>
    <w:rsid w:val="008B3FE9"/>
    <w:rsid w:val="008C0E8D"/>
    <w:rsid w:val="008D6788"/>
    <w:rsid w:val="008D7C51"/>
    <w:rsid w:val="008E3B46"/>
    <w:rsid w:val="008E3B92"/>
    <w:rsid w:val="008E419A"/>
    <w:rsid w:val="008E4D1E"/>
    <w:rsid w:val="008F36BF"/>
    <w:rsid w:val="009050C6"/>
    <w:rsid w:val="00910A41"/>
    <w:rsid w:val="00914165"/>
    <w:rsid w:val="00942A90"/>
    <w:rsid w:val="00955363"/>
    <w:rsid w:val="0095561B"/>
    <w:rsid w:val="00962B11"/>
    <w:rsid w:val="00967AB8"/>
    <w:rsid w:val="0098302B"/>
    <w:rsid w:val="00987C21"/>
    <w:rsid w:val="009932EB"/>
    <w:rsid w:val="009B3C45"/>
    <w:rsid w:val="009B680B"/>
    <w:rsid w:val="009C2CE1"/>
    <w:rsid w:val="009C401C"/>
    <w:rsid w:val="009D1829"/>
    <w:rsid w:val="009D6ED8"/>
    <w:rsid w:val="009E1919"/>
    <w:rsid w:val="009E43CB"/>
    <w:rsid w:val="009F7A8F"/>
    <w:rsid w:val="00A000E1"/>
    <w:rsid w:val="00A32380"/>
    <w:rsid w:val="00A332D9"/>
    <w:rsid w:val="00A45A07"/>
    <w:rsid w:val="00A460A5"/>
    <w:rsid w:val="00A506B5"/>
    <w:rsid w:val="00A5336B"/>
    <w:rsid w:val="00A55C25"/>
    <w:rsid w:val="00A5625F"/>
    <w:rsid w:val="00A57A94"/>
    <w:rsid w:val="00A61D57"/>
    <w:rsid w:val="00A76A14"/>
    <w:rsid w:val="00A823CD"/>
    <w:rsid w:val="00A90FE4"/>
    <w:rsid w:val="00A948E2"/>
    <w:rsid w:val="00AA14B5"/>
    <w:rsid w:val="00AA1F00"/>
    <w:rsid w:val="00AC3DF0"/>
    <w:rsid w:val="00AE4E2B"/>
    <w:rsid w:val="00AE6870"/>
    <w:rsid w:val="00AE7CDB"/>
    <w:rsid w:val="00B026B7"/>
    <w:rsid w:val="00B04658"/>
    <w:rsid w:val="00B25FBF"/>
    <w:rsid w:val="00B2657F"/>
    <w:rsid w:val="00B30C88"/>
    <w:rsid w:val="00B31009"/>
    <w:rsid w:val="00B36090"/>
    <w:rsid w:val="00B378CA"/>
    <w:rsid w:val="00B4400F"/>
    <w:rsid w:val="00B52660"/>
    <w:rsid w:val="00B57007"/>
    <w:rsid w:val="00B57810"/>
    <w:rsid w:val="00B65CDB"/>
    <w:rsid w:val="00B742D9"/>
    <w:rsid w:val="00B81843"/>
    <w:rsid w:val="00B839DD"/>
    <w:rsid w:val="00B90F88"/>
    <w:rsid w:val="00B96579"/>
    <w:rsid w:val="00BA6F70"/>
    <w:rsid w:val="00BB49F6"/>
    <w:rsid w:val="00BB58AE"/>
    <w:rsid w:val="00BE0CD1"/>
    <w:rsid w:val="00BF3A44"/>
    <w:rsid w:val="00C109B9"/>
    <w:rsid w:val="00C146AF"/>
    <w:rsid w:val="00C159DA"/>
    <w:rsid w:val="00C16958"/>
    <w:rsid w:val="00C16DB2"/>
    <w:rsid w:val="00C21814"/>
    <w:rsid w:val="00C52854"/>
    <w:rsid w:val="00C53075"/>
    <w:rsid w:val="00C53A9B"/>
    <w:rsid w:val="00C544B0"/>
    <w:rsid w:val="00C62209"/>
    <w:rsid w:val="00C6327D"/>
    <w:rsid w:val="00C63C6D"/>
    <w:rsid w:val="00C65DFE"/>
    <w:rsid w:val="00C674D1"/>
    <w:rsid w:val="00C753D5"/>
    <w:rsid w:val="00C81780"/>
    <w:rsid w:val="00C903E9"/>
    <w:rsid w:val="00C930C2"/>
    <w:rsid w:val="00C93A06"/>
    <w:rsid w:val="00C94BF6"/>
    <w:rsid w:val="00CA53B4"/>
    <w:rsid w:val="00CB1897"/>
    <w:rsid w:val="00CB68E0"/>
    <w:rsid w:val="00CC2CCE"/>
    <w:rsid w:val="00CF39AF"/>
    <w:rsid w:val="00D13AEE"/>
    <w:rsid w:val="00D175B5"/>
    <w:rsid w:val="00D22FFF"/>
    <w:rsid w:val="00D238CB"/>
    <w:rsid w:val="00D35180"/>
    <w:rsid w:val="00D53130"/>
    <w:rsid w:val="00D75502"/>
    <w:rsid w:val="00D95439"/>
    <w:rsid w:val="00DC1D08"/>
    <w:rsid w:val="00DC3DA0"/>
    <w:rsid w:val="00DD4115"/>
    <w:rsid w:val="00DE1DEA"/>
    <w:rsid w:val="00DE651F"/>
    <w:rsid w:val="00DF786A"/>
    <w:rsid w:val="00E06DFA"/>
    <w:rsid w:val="00E15D38"/>
    <w:rsid w:val="00E1752F"/>
    <w:rsid w:val="00E217FA"/>
    <w:rsid w:val="00E2363E"/>
    <w:rsid w:val="00E354D7"/>
    <w:rsid w:val="00E45D67"/>
    <w:rsid w:val="00E47651"/>
    <w:rsid w:val="00E64604"/>
    <w:rsid w:val="00E664BF"/>
    <w:rsid w:val="00E67C28"/>
    <w:rsid w:val="00E728F4"/>
    <w:rsid w:val="00E74F78"/>
    <w:rsid w:val="00E77BE4"/>
    <w:rsid w:val="00E9753F"/>
    <w:rsid w:val="00EA74F2"/>
    <w:rsid w:val="00EA7EC2"/>
    <w:rsid w:val="00EB5B0B"/>
    <w:rsid w:val="00F02ADB"/>
    <w:rsid w:val="00F02F89"/>
    <w:rsid w:val="00F26E35"/>
    <w:rsid w:val="00F374D8"/>
    <w:rsid w:val="00F6517C"/>
    <w:rsid w:val="00F66F20"/>
    <w:rsid w:val="00F70DD7"/>
    <w:rsid w:val="00F76EF6"/>
    <w:rsid w:val="00FA1895"/>
    <w:rsid w:val="00FA5737"/>
    <w:rsid w:val="00FB07B7"/>
    <w:rsid w:val="00FB1FCA"/>
    <w:rsid w:val="00FB24E9"/>
    <w:rsid w:val="00FB339E"/>
    <w:rsid w:val="00FB3877"/>
    <w:rsid w:val="00FC6158"/>
    <w:rsid w:val="00FC74F6"/>
    <w:rsid w:val="00FD1027"/>
    <w:rsid w:val="00FD35D7"/>
    <w:rsid w:val="00FD5386"/>
    <w:rsid w:val="00FD7781"/>
    <w:rsid w:val="00FE2ED7"/>
    <w:rsid w:val="00FE531A"/>
    <w:rsid w:val="00FF4DDC"/>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82B11"/>
    <w:rPr>
      <w:sz w:val="20"/>
      <w:szCs w:val="20"/>
    </w:rPr>
  </w:style>
  <w:style w:type="character" w:styleId="FootnoteReference">
    <w:name w:val="footnote reference"/>
    <w:semiHidden/>
    <w:rsid w:val="00682B11"/>
    <w:rPr>
      <w:vertAlign w:val="superscript"/>
    </w:rPr>
  </w:style>
  <w:style w:type="paragraph" w:customStyle="1" w:styleId="p1aChar">
    <w:name w:val="p1a Char"/>
    <w:basedOn w:val="Normal"/>
    <w:next w:val="Normal"/>
    <w:rsid w:val="006A0721"/>
    <w:pPr>
      <w:overflowPunct w:val="0"/>
      <w:autoSpaceDE w:val="0"/>
      <w:autoSpaceDN w:val="0"/>
      <w:adjustRightInd w:val="0"/>
      <w:jc w:val="both"/>
      <w:textAlignment w:val="baseline"/>
    </w:pPr>
    <w:rPr>
      <w:rFonts w:ascii="Times" w:hAnsi="Times"/>
      <w:sz w:val="20"/>
      <w:szCs w:val="20"/>
      <w:lang w:val="en-US"/>
    </w:rPr>
  </w:style>
  <w:style w:type="paragraph" w:customStyle="1" w:styleId="NumberedItem">
    <w:name w:val="Numbered Item"/>
    <w:basedOn w:val="Normal"/>
    <w:rsid w:val="006A0721"/>
    <w:pPr>
      <w:tabs>
        <w:tab w:val="left" w:pos="227"/>
        <w:tab w:val="left" w:pos="454"/>
      </w:tabs>
      <w:overflowPunct w:val="0"/>
      <w:autoSpaceDE w:val="0"/>
      <w:autoSpaceDN w:val="0"/>
      <w:adjustRightInd w:val="0"/>
      <w:ind w:left="227" w:hanging="227"/>
      <w:jc w:val="both"/>
      <w:textAlignment w:val="baseline"/>
    </w:pPr>
    <w:rPr>
      <w:rFonts w:ascii="Times" w:hAnsi="Times"/>
      <w:sz w:val="20"/>
      <w:szCs w:val="20"/>
      <w:lang w:val="en-US"/>
    </w:rPr>
  </w:style>
  <w:style w:type="paragraph" w:customStyle="1" w:styleId="MyH1">
    <w:name w:val="MyH1"/>
    <w:basedOn w:val="Normal"/>
    <w:rsid w:val="00967AB8"/>
    <w:pPr>
      <w:spacing w:before="360" w:after="120"/>
    </w:pPr>
    <w:rPr>
      <w:b/>
      <w:sz w:val="22"/>
      <w:szCs w:val="22"/>
    </w:rPr>
  </w:style>
  <w:style w:type="paragraph" w:customStyle="1" w:styleId="MyFirstPar">
    <w:name w:val="MyFirstPar"/>
    <w:basedOn w:val="Normal"/>
    <w:link w:val="MyFirstParChar"/>
    <w:rsid w:val="00967AB8"/>
    <w:pPr>
      <w:jc w:val="both"/>
    </w:pPr>
    <w:rPr>
      <w:sz w:val="18"/>
      <w:szCs w:val="18"/>
    </w:rPr>
  </w:style>
  <w:style w:type="paragraph" w:customStyle="1" w:styleId="MyPar">
    <w:name w:val="MyPar"/>
    <w:basedOn w:val="Normal"/>
    <w:rsid w:val="00967AB8"/>
    <w:pPr>
      <w:ind w:firstLine="215"/>
      <w:jc w:val="both"/>
    </w:pPr>
    <w:rPr>
      <w:sz w:val="18"/>
      <w:szCs w:val="18"/>
    </w:rPr>
  </w:style>
  <w:style w:type="character" w:customStyle="1" w:styleId="MyFirstParChar">
    <w:name w:val="MyFirstPar Char"/>
    <w:link w:val="MyFirstPar"/>
    <w:rsid w:val="00967AB8"/>
    <w:rPr>
      <w:sz w:val="18"/>
      <w:szCs w:val="18"/>
      <w:lang w:val="en-GB" w:eastAsia="en-GB" w:bidi="ar-SA"/>
    </w:rPr>
  </w:style>
  <w:style w:type="paragraph" w:customStyle="1" w:styleId="MyRef">
    <w:name w:val="MyRef"/>
    <w:basedOn w:val="Normal"/>
    <w:rsid w:val="00696256"/>
    <w:pPr>
      <w:autoSpaceDE w:val="0"/>
      <w:autoSpaceDN w:val="0"/>
      <w:adjustRightInd w:val="0"/>
      <w:ind w:left="227" w:hanging="227"/>
      <w:jc w:val="both"/>
    </w:pPr>
    <w:rPr>
      <w:sz w:val="16"/>
      <w:szCs w:val="16"/>
    </w:rPr>
  </w:style>
  <w:style w:type="character" w:styleId="Hyperlink">
    <w:name w:val="Hyperlink"/>
    <w:rsid w:val="00225F73"/>
    <w:rPr>
      <w:color w:val="0000FF"/>
      <w:u w:val="single"/>
    </w:rPr>
  </w:style>
  <w:style w:type="paragraph" w:styleId="Header">
    <w:name w:val="header"/>
    <w:basedOn w:val="Normal"/>
    <w:rsid w:val="007B2A63"/>
    <w:pPr>
      <w:tabs>
        <w:tab w:val="center" w:pos="4153"/>
        <w:tab w:val="right" w:pos="8306"/>
      </w:tabs>
    </w:pPr>
  </w:style>
  <w:style w:type="paragraph" w:styleId="Footer">
    <w:name w:val="footer"/>
    <w:basedOn w:val="Normal"/>
    <w:rsid w:val="007B2A63"/>
    <w:pPr>
      <w:tabs>
        <w:tab w:val="center" w:pos="4153"/>
        <w:tab w:val="right" w:pos="8306"/>
      </w:tabs>
    </w:pPr>
  </w:style>
  <w:style w:type="character" w:styleId="PageNumber">
    <w:name w:val="page number"/>
    <w:basedOn w:val="DefaultParagraphFont"/>
    <w:rsid w:val="007B2A63"/>
  </w:style>
  <w:style w:type="paragraph" w:styleId="BalloonText">
    <w:name w:val="Balloon Text"/>
    <w:basedOn w:val="Normal"/>
    <w:semiHidden/>
    <w:rsid w:val="005F6E4A"/>
    <w:rPr>
      <w:rFonts w:ascii="Tahoma" w:hAnsi="Tahoma" w:cs="Tahoma"/>
      <w:sz w:val="16"/>
      <w:szCs w:val="16"/>
    </w:rPr>
  </w:style>
  <w:style w:type="paragraph" w:styleId="DocumentMap">
    <w:name w:val="Document Map"/>
    <w:basedOn w:val="Normal"/>
    <w:semiHidden/>
    <w:rsid w:val="00D13AEE"/>
    <w:pPr>
      <w:shd w:val="clear" w:color="auto" w:fill="000080"/>
    </w:pPr>
    <w:rPr>
      <w:rFonts w:ascii="Tahoma" w:hAnsi="Tahoma" w:cs="Tahoma"/>
      <w:sz w:val="20"/>
      <w:szCs w:val="20"/>
    </w:rPr>
  </w:style>
  <w:style w:type="paragraph" w:styleId="ListParagraph">
    <w:name w:val="List Paragraph"/>
    <w:basedOn w:val="Normal"/>
    <w:uiPriority w:val="34"/>
    <w:qFormat/>
    <w:rsid w:val="00B25FB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682B11"/>
    <w:rPr>
      <w:sz w:val="20"/>
      <w:szCs w:val="20"/>
    </w:rPr>
  </w:style>
  <w:style w:type="character" w:styleId="FootnoteReference">
    <w:name w:val="footnote reference"/>
    <w:semiHidden/>
    <w:rsid w:val="00682B11"/>
    <w:rPr>
      <w:vertAlign w:val="superscript"/>
    </w:rPr>
  </w:style>
  <w:style w:type="paragraph" w:customStyle="1" w:styleId="p1aChar">
    <w:name w:val="p1a Char"/>
    <w:basedOn w:val="Normal"/>
    <w:next w:val="Normal"/>
    <w:rsid w:val="006A0721"/>
    <w:pPr>
      <w:overflowPunct w:val="0"/>
      <w:autoSpaceDE w:val="0"/>
      <w:autoSpaceDN w:val="0"/>
      <w:adjustRightInd w:val="0"/>
      <w:jc w:val="both"/>
      <w:textAlignment w:val="baseline"/>
    </w:pPr>
    <w:rPr>
      <w:rFonts w:ascii="Times" w:hAnsi="Times"/>
      <w:sz w:val="20"/>
      <w:szCs w:val="20"/>
      <w:lang w:val="en-US"/>
    </w:rPr>
  </w:style>
  <w:style w:type="paragraph" w:customStyle="1" w:styleId="NumberedItem">
    <w:name w:val="Numbered Item"/>
    <w:basedOn w:val="Normal"/>
    <w:rsid w:val="006A0721"/>
    <w:pPr>
      <w:tabs>
        <w:tab w:val="left" w:pos="227"/>
        <w:tab w:val="left" w:pos="454"/>
      </w:tabs>
      <w:overflowPunct w:val="0"/>
      <w:autoSpaceDE w:val="0"/>
      <w:autoSpaceDN w:val="0"/>
      <w:adjustRightInd w:val="0"/>
      <w:ind w:left="227" w:hanging="227"/>
      <w:jc w:val="both"/>
      <w:textAlignment w:val="baseline"/>
    </w:pPr>
    <w:rPr>
      <w:rFonts w:ascii="Times" w:hAnsi="Times"/>
      <w:sz w:val="20"/>
      <w:szCs w:val="20"/>
      <w:lang w:val="en-US"/>
    </w:rPr>
  </w:style>
  <w:style w:type="paragraph" w:customStyle="1" w:styleId="MyH1">
    <w:name w:val="MyH1"/>
    <w:basedOn w:val="Normal"/>
    <w:rsid w:val="00967AB8"/>
    <w:pPr>
      <w:spacing w:before="360" w:after="120"/>
    </w:pPr>
    <w:rPr>
      <w:b/>
      <w:sz w:val="22"/>
      <w:szCs w:val="22"/>
    </w:rPr>
  </w:style>
  <w:style w:type="paragraph" w:customStyle="1" w:styleId="MyFirstPar">
    <w:name w:val="MyFirstPar"/>
    <w:basedOn w:val="Normal"/>
    <w:link w:val="MyFirstParChar"/>
    <w:rsid w:val="00967AB8"/>
    <w:pPr>
      <w:jc w:val="both"/>
    </w:pPr>
    <w:rPr>
      <w:sz w:val="18"/>
      <w:szCs w:val="18"/>
    </w:rPr>
  </w:style>
  <w:style w:type="paragraph" w:customStyle="1" w:styleId="MyPar">
    <w:name w:val="MyPar"/>
    <w:basedOn w:val="Normal"/>
    <w:rsid w:val="00967AB8"/>
    <w:pPr>
      <w:ind w:firstLine="215"/>
      <w:jc w:val="both"/>
    </w:pPr>
    <w:rPr>
      <w:sz w:val="18"/>
      <w:szCs w:val="18"/>
    </w:rPr>
  </w:style>
  <w:style w:type="character" w:customStyle="1" w:styleId="MyFirstParChar">
    <w:name w:val="MyFirstPar Char"/>
    <w:link w:val="MyFirstPar"/>
    <w:rsid w:val="00967AB8"/>
    <w:rPr>
      <w:sz w:val="18"/>
      <w:szCs w:val="18"/>
      <w:lang w:val="en-GB" w:eastAsia="en-GB" w:bidi="ar-SA"/>
    </w:rPr>
  </w:style>
  <w:style w:type="paragraph" w:customStyle="1" w:styleId="MyRef">
    <w:name w:val="MyRef"/>
    <w:basedOn w:val="Normal"/>
    <w:rsid w:val="00696256"/>
    <w:pPr>
      <w:autoSpaceDE w:val="0"/>
      <w:autoSpaceDN w:val="0"/>
      <w:adjustRightInd w:val="0"/>
      <w:ind w:left="227" w:hanging="227"/>
      <w:jc w:val="both"/>
    </w:pPr>
    <w:rPr>
      <w:sz w:val="16"/>
      <w:szCs w:val="16"/>
    </w:rPr>
  </w:style>
  <w:style w:type="character" w:styleId="Hyperlink">
    <w:name w:val="Hyperlink"/>
    <w:rsid w:val="00225F73"/>
    <w:rPr>
      <w:color w:val="0000FF"/>
      <w:u w:val="single"/>
    </w:rPr>
  </w:style>
  <w:style w:type="paragraph" w:styleId="Header">
    <w:name w:val="header"/>
    <w:basedOn w:val="Normal"/>
    <w:rsid w:val="007B2A63"/>
    <w:pPr>
      <w:tabs>
        <w:tab w:val="center" w:pos="4153"/>
        <w:tab w:val="right" w:pos="8306"/>
      </w:tabs>
    </w:pPr>
  </w:style>
  <w:style w:type="paragraph" w:styleId="Footer">
    <w:name w:val="footer"/>
    <w:basedOn w:val="Normal"/>
    <w:rsid w:val="007B2A63"/>
    <w:pPr>
      <w:tabs>
        <w:tab w:val="center" w:pos="4153"/>
        <w:tab w:val="right" w:pos="8306"/>
      </w:tabs>
    </w:pPr>
  </w:style>
  <w:style w:type="character" w:styleId="PageNumber">
    <w:name w:val="page number"/>
    <w:basedOn w:val="DefaultParagraphFont"/>
    <w:rsid w:val="007B2A63"/>
  </w:style>
  <w:style w:type="paragraph" w:styleId="BalloonText">
    <w:name w:val="Balloon Text"/>
    <w:basedOn w:val="Normal"/>
    <w:semiHidden/>
    <w:rsid w:val="005F6E4A"/>
    <w:rPr>
      <w:rFonts w:ascii="Tahoma" w:hAnsi="Tahoma" w:cs="Tahoma"/>
      <w:sz w:val="16"/>
      <w:szCs w:val="16"/>
    </w:rPr>
  </w:style>
  <w:style w:type="paragraph" w:styleId="DocumentMap">
    <w:name w:val="Document Map"/>
    <w:basedOn w:val="Normal"/>
    <w:semiHidden/>
    <w:rsid w:val="00D13AEE"/>
    <w:pPr>
      <w:shd w:val="clear" w:color="auto" w:fill="000080"/>
    </w:pPr>
    <w:rPr>
      <w:rFonts w:ascii="Tahoma" w:hAnsi="Tahoma" w:cs="Tahoma"/>
      <w:sz w:val="20"/>
      <w:szCs w:val="20"/>
    </w:rPr>
  </w:style>
  <w:style w:type="paragraph" w:styleId="ListParagraph">
    <w:name w:val="List Paragraph"/>
    <w:basedOn w:val="Normal"/>
    <w:uiPriority w:val="34"/>
    <w:qFormat/>
    <w:rsid w:val="00B25F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902840">
      <w:bodyDiv w:val="1"/>
      <w:marLeft w:val="0"/>
      <w:marRight w:val="0"/>
      <w:marTop w:val="0"/>
      <w:marBottom w:val="0"/>
      <w:divBdr>
        <w:top w:val="none" w:sz="0" w:space="0" w:color="auto"/>
        <w:left w:val="none" w:sz="0" w:space="0" w:color="auto"/>
        <w:bottom w:val="none" w:sz="0" w:space="0" w:color="auto"/>
        <w:right w:val="none" w:sz="0" w:space="0" w:color="auto"/>
      </w:divBdr>
    </w:div>
    <w:div w:id="489492784">
      <w:bodyDiv w:val="1"/>
      <w:marLeft w:val="0"/>
      <w:marRight w:val="0"/>
      <w:marTop w:val="0"/>
      <w:marBottom w:val="0"/>
      <w:divBdr>
        <w:top w:val="none" w:sz="0" w:space="0" w:color="auto"/>
        <w:left w:val="none" w:sz="0" w:space="0" w:color="auto"/>
        <w:bottom w:val="none" w:sz="0" w:space="0" w:color="auto"/>
        <w:right w:val="none" w:sz="0" w:space="0" w:color="auto"/>
      </w:divBdr>
    </w:div>
    <w:div w:id="647125076">
      <w:bodyDiv w:val="1"/>
      <w:marLeft w:val="0"/>
      <w:marRight w:val="0"/>
      <w:marTop w:val="0"/>
      <w:marBottom w:val="0"/>
      <w:divBdr>
        <w:top w:val="none" w:sz="0" w:space="0" w:color="auto"/>
        <w:left w:val="none" w:sz="0" w:space="0" w:color="auto"/>
        <w:bottom w:val="none" w:sz="0" w:space="0" w:color="auto"/>
        <w:right w:val="none" w:sz="0" w:space="0" w:color="auto"/>
      </w:divBdr>
    </w:div>
    <w:div w:id="1105466815">
      <w:bodyDiv w:val="1"/>
      <w:marLeft w:val="0"/>
      <w:marRight w:val="0"/>
      <w:marTop w:val="0"/>
      <w:marBottom w:val="0"/>
      <w:divBdr>
        <w:top w:val="none" w:sz="0" w:space="0" w:color="auto"/>
        <w:left w:val="none" w:sz="0" w:space="0" w:color="auto"/>
        <w:bottom w:val="none" w:sz="0" w:space="0" w:color="auto"/>
        <w:right w:val="none" w:sz="0" w:space="0" w:color="auto"/>
      </w:divBdr>
    </w:div>
    <w:div w:id="1172375809">
      <w:bodyDiv w:val="1"/>
      <w:marLeft w:val="0"/>
      <w:marRight w:val="0"/>
      <w:marTop w:val="0"/>
      <w:marBottom w:val="0"/>
      <w:divBdr>
        <w:top w:val="none" w:sz="0" w:space="0" w:color="auto"/>
        <w:left w:val="none" w:sz="0" w:space="0" w:color="auto"/>
        <w:bottom w:val="none" w:sz="0" w:space="0" w:color="auto"/>
        <w:right w:val="none" w:sz="0" w:space="0" w:color="auto"/>
      </w:divBdr>
    </w:div>
    <w:div w:id="1271358836">
      <w:bodyDiv w:val="1"/>
      <w:marLeft w:val="0"/>
      <w:marRight w:val="0"/>
      <w:marTop w:val="0"/>
      <w:marBottom w:val="0"/>
      <w:divBdr>
        <w:top w:val="none" w:sz="0" w:space="0" w:color="auto"/>
        <w:left w:val="none" w:sz="0" w:space="0" w:color="auto"/>
        <w:bottom w:val="none" w:sz="0" w:space="0" w:color="auto"/>
        <w:right w:val="none" w:sz="0" w:space="0" w:color="auto"/>
      </w:divBdr>
    </w:div>
    <w:div w:id="151037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sherlock-holm.es/stories/pdf/a4/1-sided/sig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C333D7F9-5664-4055-88D5-BEF8E4129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873</Words>
  <Characters>4980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Group Modelling for Responsive Environments </vt:lpstr>
    </vt:vector>
  </TitlesOfParts>
  <Company>University of Aberdeen</Company>
  <LinksUpToDate>false</LinksUpToDate>
  <CharactersWithSpaces>5842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Group Modelling for Responsive Environments </dc:title>
  <dc:subject/>
  <dc:creator>Department of Computing Science</dc:creator>
  <cp:keywords/>
  <dc:description/>
  <cp:lastModifiedBy>Joel Parthemore</cp:lastModifiedBy>
  <cp:revision>1</cp:revision>
  <cp:lastPrinted>2007-01-21T15:52:00Z</cp:lastPrinted>
  <dcterms:created xsi:type="dcterms:W3CDTF">2017-03-19T16:56:00Z</dcterms:created>
  <dcterms:modified xsi:type="dcterms:W3CDTF">2017-03-20T22:41:00Z</dcterms:modified>
</cp:coreProperties>
</file>